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«Детский сад №6 «Солнышко»</w:t>
      </w:r>
    </w:p>
    <w:p>
      <w:pPr>
        <w:shd w:val="clear" w:color="auto" w:fill="FFFFFF"/>
        <w:spacing w:after="0" w:line="240" w:lineRule="auto"/>
        <w:ind w:left="-567" w:firstLine="71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</w:p>
    <w:p/>
    <w:p/>
    <w:p>
      <w:pPr>
        <w:spacing w:line="240" w:lineRule="auto"/>
        <w:ind w:left="-993"/>
        <w:jc w:val="center"/>
        <w:rPr>
          <w:b/>
          <w:sz w:val="40"/>
          <w:szCs w:val="40"/>
        </w:rPr>
      </w:pPr>
    </w:p>
    <w:p>
      <w:pPr>
        <w:spacing w:line="240" w:lineRule="auto"/>
        <w:ind w:left="-993"/>
        <w:jc w:val="center"/>
        <w:rPr>
          <w:b/>
          <w:sz w:val="40"/>
          <w:szCs w:val="40"/>
        </w:rPr>
      </w:pPr>
    </w:p>
    <w:p>
      <w:pPr>
        <w:spacing w:line="240" w:lineRule="auto"/>
        <w:ind w:left="-993"/>
        <w:jc w:val="center"/>
        <w:rPr>
          <w:b/>
          <w:sz w:val="40"/>
          <w:szCs w:val="40"/>
        </w:rPr>
      </w:pPr>
    </w:p>
    <w:p>
      <w:pPr>
        <w:spacing w:line="240" w:lineRule="auto"/>
        <w:ind w:left="-99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>
      <w:pPr>
        <w:spacing w:line="240" w:lineRule="auto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 – личностного саморазвития педагога</w:t>
      </w:r>
    </w:p>
    <w:p>
      <w:pPr>
        <w:spacing w:line="240" w:lineRule="auto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Семериковой Ольги Олеговны</w:t>
      </w:r>
    </w:p>
    <w:p>
      <w:pPr>
        <w:spacing w:line="240" w:lineRule="auto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2023 – 2024 учебный год.</w:t>
      </w:r>
    </w:p>
    <w:p>
      <w:pPr>
        <w:spacing w:line="240" w:lineRule="auto"/>
        <w:ind w:left="-99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«Формирование грамматического строя речи у детей старшего дошкольного возраста с ТНР посредством игровых упражнений»»</w:t>
      </w: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213360</wp:posOffset>
            </wp:positionV>
            <wp:extent cx="3216275" cy="3009900"/>
            <wp:effectExtent l="0" t="0" r="0" b="0"/>
            <wp:wrapNone/>
            <wp:docPr id="1" name="Рисунок 1" descr="Логопед для детей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пед для детей 5-6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6536" cy="30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Семёнов</w:t>
      </w: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p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271" w:lineRule="atLeast"/>
        <w:ind w:left="-993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>
      <w:pPr>
        <w:pStyle w:val="6"/>
        <w:shd w:val="clear" w:color="auto" w:fill="FFFFFF"/>
        <w:spacing w:before="0" w:beforeAutospacing="0" w:after="0" w:afterAutospacing="0" w:line="271" w:lineRule="atLeast"/>
        <w:ind w:left="-993" w:firstLine="426"/>
        <w:jc w:val="center"/>
        <w:rPr>
          <w:rFonts w:ascii="Open Sans" w:hAnsi="Open Sans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ind w:left="-993" w:firstLine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 детей с общим недоразвитием речи исследователи отмечают недостаточную сформированность речевой функциональной системы, бедность словаря, что характеризуется недостаточной сформированностью предметной, глагольной лексики, словаря признаков.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-993" w:firstLine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 пяти годам дети овладевают набором слов, обозначающих основные геометрические формы, знают измерения некоторых величин, пространственные отношения определяют дифференцированно и точно. Словарь состоит из 2200 слов.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left="-993" w:firstLine="284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После пяти лет дети выделяют части предметов, сравнивают их по общим и частным признакам, усваивают свойства предметов, начинают употреблять слова, обозначающие отвлеченные понятия.</w:t>
      </w:r>
    </w:p>
    <w:p>
      <w:pPr>
        <w:shd w:val="clear" w:color="auto" w:fill="FFFFFF"/>
        <w:spacing w:after="0"/>
        <w:ind w:left="-993" w:firstLine="284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Грамматический строй – это один из обязательных компонентов, любого языка, определяющийся системой правил изменений слов, сочетаний их в предложения, правил построения разных типов предложений.</w:t>
      </w:r>
    </w:p>
    <w:p>
      <w:pPr>
        <w:shd w:val="clear" w:color="auto" w:fill="FFFFFF"/>
        <w:spacing w:after="0"/>
        <w:ind w:left="-993" w:firstLine="284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>
      <w:pPr>
        <w:shd w:val="clear" w:color="auto" w:fill="FFFFFF"/>
        <w:spacing w:after="0"/>
        <w:ind w:left="-993" w:firstLine="284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Актуальность: Сегодня ребенку-первокласснику, не владеющему грамматической стороной речи очень трудно осваивать курс обучения родному языку в школе. Если это ребенок с ТНР, то вдвойне труднее. Поэтому одной из задач учителя - логопеда, является формирование у них  грамотной речи, так как в дошкольном возрасте закладывается фундамент будущей грамотности.  Дети, не владеющие  достаточным лексическим запасом, испытывают большие трудности в обучении, не находя подходящих слов для выражения своих мыслей. Поэтому формирование лексико-грамматических конструкций у детей дошкольного возраста является одной из актуальных проблем на сегодняшний день.</w:t>
      </w:r>
    </w:p>
    <w:p>
      <w:pPr>
        <w:shd w:val="clear" w:color="auto" w:fill="FFFFFF"/>
        <w:spacing w:after="0"/>
        <w:ind w:left="-993" w:firstLine="284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/>
        <w:ind w:left="-993" w:firstLine="284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Формирование грамматической стороны речи у детей старшего дошкольного возраста с ТНР в процессе проведения целенаправленной коррекционной работы с использованием игровых упражнений.</w:t>
      </w:r>
    </w:p>
    <w:p>
      <w:pPr>
        <w:shd w:val="clear" w:color="auto" w:fill="FFFFFF"/>
        <w:spacing w:after="0"/>
        <w:ind w:left="-993" w:firstLine="284"/>
        <w:jc w:val="both"/>
        <w:rPr>
          <w:rFonts w:ascii="Open Sans" w:hAnsi="Open Sans" w:eastAsia="Times New Roman" w:cs="Open Sans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/>
        <w:ind w:left="-993" w:firstLine="284"/>
        <w:jc w:val="both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>
      <w:pPr>
        <w:shd w:val="clear" w:color="auto" w:fill="FFFFFF"/>
        <w:spacing w:after="0"/>
        <w:ind w:left="-993" w:firstLine="142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1. Проанализировать специальную и методическую литературу.</w:t>
      </w:r>
    </w:p>
    <w:p>
      <w:pPr>
        <w:shd w:val="clear" w:color="auto" w:fill="FFFFFF"/>
        <w:spacing w:after="0"/>
        <w:ind w:left="-993" w:firstLine="142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2. Изучить приемы формирования лексико-грамматических средств языка у детей с общим недоразвитием речи;</w:t>
      </w:r>
    </w:p>
    <w:p>
      <w:pPr>
        <w:shd w:val="clear" w:color="auto" w:fill="FFFFFF"/>
        <w:spacing w:after="0"/>
        <w:ind w:left="-993" w:firstLine="142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3. Приобрести и изготовить дидактический материал для работы с детьми.</w:t>
      </w:r>
    </w:p>
    <w:p>
      <w:pPr>
        <w:shd w:val="clear" w:color="auto" w:fill="FFFFFF"/>
        <w:spacing w:after="0"/>
        <w:ind w:left="-993" w:firstLine="142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4. Формировать словообразования, словоизменение у детей с ТНР.</w:t>
      </w:r>
    </w:p>
    <w:p>
      <w:pPr>
        <w:shd w:val="clear" w:color="auto" w:fill="FFFFFF"/>
        <w:spacing w:after="0"/>
        <w:ind w:left="-993" w:firstLine="142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Предполагаемый результат</w:t>
      </w:r>
      <w:r>
        <w:rPr>
          <w:color w:val="000000"/>
          <w:sz w:val="28"/>
          <w:szCs w:val="28"/>
        </w:rPr>
        <w:t>: систематизация материала для создания воркбука по развитию грамматического строя речи детей дошкольного возраста с ТНР с помощью игровых упражнений.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Cambria Math" w:hAnsi="Cambria Math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Этапы работы по самообразованию</w:t>
      </w:r>
      <w:r>
        <w:rPr>
          <w:rFonts w:ascii="Cambria Math" w:hAnsi="Cambria Math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 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10471" w:type="dxa"/>
        <w:tblInd w:w="-9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3403"/>
        <w:gridCol w:w="1417"/>
        <w:gridCol w:w="4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Цель: Повышение собственного уровня знаний,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компетентности.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- ноябрь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Изучение научно-методической и учебно-методической литературы по данной теме.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Знакомство с работами других специалистов (просмотры  сайтов, посещение открытых мероприятий педагогов).    </w:t>
            </w:r>
          </w:p>
          <w:p>
            <w:pPr>
              <w:spacing w:after="0" w:line="240" w:lineRule="auto"/>
              <w:ind w:right="142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Подбор методической литературы.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 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Цель: Внедрение в практику подготовленного материала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– апрель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Создать собственные дидактические игры, атрибуты. 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Организация флешмоба с участием родителей группы компенсирующей направленности «ДАЙ ПЯТЬ!»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Разработка воркбука по теме.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Презентация из опыта работы на педагогическом совете ДОУ.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Изготовление памяток, консультация  по теме для родителей.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Проведение открытого занятия для педагогов «Весна пришла!»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Сообщение из опыта работы на пед.часе ДОУ «Развитие речевого слуха, словарного запаса и понимания речи» (для общеобразовательных групп)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Участвовать в работе конференций, семинаров, методических объединений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0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этап. 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Цель: Подведение итогов работы по теме самообразования.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94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Диагностика. Мониторинг.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по теме самообразования на педагогическом совете ДОУ.</w:t>
            </w:r>
          </w:p>
          <w:p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  <w:r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  <w:br w:type="textWrapping"/>
      </w: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000000"/>
          <w:sz w:val="19"/>
          <w:szCs w:val="19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Используемая литература.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>
      <w:pPr>
        <w:pStyle w:val="3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Агранович А.Е. Сборник домашних заданий в помощь логопедам и родителям для преодоления лексико-грамматического недоразвития речи у дошкольников с ОНР.- СПб.: ООО «Издательство «Детство-пресс», 2015г. – 112с.</w:t>
      </w:r>
    </w:p>
    <w:p>
      <w:pPr>
        <w:pStyle w:val="3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Хортиева Т.В. Словесные игры для детей старшего дошкольного возраста с ТНР (с 6до 7 лет). _ СПб.: ООО «Издательство «Детство-пресс», 2018г. – 48 с.</w:t>
      </w:r>
    </w:p>
    <w:p>
      <w:pPr>
        <w:pStyle w:val="3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Крупенчук О.И. Научите меня говорить правильно! – СПб.: 2004. – 208 с.</w:t>
      </w:r>
    </w:p>
    <w:p>
      <w:pPr>
        <w:pStyle w:val="3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подгрупповых логопедических занятий в группе компенсирующей направленности ДОО для детей с тяжёлыми нарушениями речи с 5 до 6 лет (старшая группа) Н.В. Нищева 2016г. </w:t>
      </w:r>
    </w:p>
    <w:p>
      <w:pPr>
        <w:pStyle w:val="3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подгрупповых логопедических занятий в группе компенсирующей направленности ДОО для детей с тяжёлыми нарушениями речи с 5 до 6 лет (средняя группа) Н.В. Нищева 2006г. </w:t>
      </w:r>
    </w:p>
    <w:p>
      <w:pPr>
        <w:pStyle w:val="3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логопедических занятий в подготовительной к школе группе детского сада для детей с ОНР» Н.В. Нищева 2008г. </w:t>
      </w:r>
    </w:p>
    <w:p>
      <w:pPr>
        <w:pStyle w:val="35"/>
        <w:numPr>
          <w:ilvl w:val="0"/>
          <w:numId w:val="1"/>
        </w:numPr>
        <w:shd w:val="clear" w:color="auto" w:fill="FFFFFF"/>
        <w:tabs>
          <w:tab w:val="left" w:pos="-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Н.В. Нищева Разноцветные сказки.-С.П.:Детство-Пресс,2001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.Н.В.Нищева Будем говорить правильно. - С.П.:Детство-Пресс,2002</w:t>
      </w:r>
    </w:p>
    <w:p>
      <w:pPr>
        <w:pStyle w:val="35"/>
        <w:shd w:val="clear" w:color="auto" w:fill="FFFFFF"/>
        <w:spacing w:after="0" w:line="360" w:lineRule="auto"/>
        <w:ind w:left="-63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line="240" w:lineRule="auto"/>
        <w:ind w:left="-993"/>
        <w:jc w:val="center"/>
        <w:rPr>
          <w:b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pgBorders w:offsetFrom="page">
        <w:top w:val="dashSmallGap" w:color="auto" w:sz="4" w:space="24"/>
        <w:left w:val="dashSmallGap" w:color="auto" w:sz="4" w:space="24"/>
        <w:bottom w:val="dashSmallGap" w:color="auto" w:sz="4" w:space="24"/>
        <w:right w:val="dashSmallGap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01061"/>
    <w:multiLevelType w:val="multilevel"/>
    <w:tmpl w:val="5A901061"/>
    <w:lvl w:ilvl="0" w:tentative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7" w:hanging="360"/>
      </w:pPr>
    </w:lvl>
    <w:lvl w:ilvl="2" w:tentative="0">
      <w:start w:val="1"/>
      <w:numFmt w:val="lowerRoman"/>
      <w:lvlText w:val="%3."/>
      <w:lvlJc w:val="right"/>
      <w:pPr>
        <w:ind w:left="807" w:hanging="180"/>
      </w:pPr>
    </w:lvl>
    <w:lvl w:ilvl="3" w:tentative="0">
      <w:start w:val="1"/>
      <w:numFmt w:val="decimal"/>
      <w:lvlText w:val="%4."/>
      <w:lvlJc w:val="left"/>
      <w:pPr>
        <w:ind w:left="1527" w:hanging="360"/>
      </w:pPr>
    </w:lvl>
    <w:lvl w:ilvl="4" w:tentative="0">
      <w:start w:val="1"/>
      <w:numFmt w:val="lowerLetter"/>
      <w:lvlText w:val="%5."/>
      <w:lvlJc w:val="left"/>
      <w:pPr>
        <w:ind w:left="2247" w:hanging="360"/>
      </w:pPr>
    </w:lvl>
    <w:lvl w:ilvl="5" w:tentative="0">
      <w:start w:val="1"/>
      <w:numFmt w:val="lowerRoman"/>
      <w:lvlText w:val="%6."/>
      <w:lvlJc w:val="right"/>
      <w:pPr>
        <w:ind w:left="2967" w:hanging="180"/>
      </w:pPr>
    </w:lvl>
    <w:lvl w:ilvl="6" w:tentative="0">
      <w:start w:val="1"/>
      <w:numFmt w:val="decimal"/>
      <w:lvlText w:val="%7."/>
      <w:lvlJc w:val="left"/>
      <w:pPr>
        <w:ind w:left="3687" w:hanging="360"/>
      </w:pPr>
    </w:lvl>
    <w:lvl w:ilvl="7" w:tentative="0">
      <w:start w:val="1"/>
      <w:numFmt w:val="lowerLetter"/>
      <w:lvlText w:val="%8."/>
      <w:lvlJc w:val="left"/>
      <w:pPr>
        <w:ind w:left="4407" w:hanging="360"/>
      </w:pPr>
    </w:lvl>
    <w:lvl w:ilvl="8" w:tentative="0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7709"/>
    <w:rsid w:val="000A3F4D"/>
    <w:rsid w:val="00110D43"/>
    <w:rsid w:val="001B5891"/>
    <w:rsid w:val="00326297"/>
    <w:rsid w:val="00532FD2"/>
    <w:rsid w:val="006569D5"/>
    <w:rsid w:val="006F40C7"/>
    <w:rsid w:val="00800819"/>
    <w:rsid w:val="008B4E2F"/>
    <w:rsid w:val="00B1395F"/>
    <w:rsid w:val="00CA3163"/>
    <w:rsid w:val="00D15064"/>
    <w:rsid w:val="00DB0291"/>
    <w:rsid w:val="00DF2749"/>
    <w:rsid w:val="00E21B79"/>
    <w:rsid w:val="00E64AE3"/>
    <w:rsid w:val="00EA6434"/>
    <w:rsid w:val="00EA7709"/>
    <w:rsid w:val="00EC1162"/>
    <w:rsid w:val="00F02448"/>
    <w:rsid w:val="36C815D6"/>
    <w:rsid w:val="774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8">
    <w:name w:val="c5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4"/>
    <w:basedOn w:val="2"/>
    <w:uiPriority w:val="0"/>
  </w:style>
  <w:style w:type="character" w:customStyle="1" w:styleId="10">
    <w:name w:val="c53"/>
    <w:basedOn w:val="2"/>
    <w:qFormat/>
    <w:uiPriority w:val="0"/>
  </w:style>
  <w:style w:type="paragraph" w:customStyle="1" w:styleId="11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8"/>
    <w:basedOn w:val="2"/>
    <w:uiPriority w:val="0"/>
  </w:style>
  <w:style w:type="paragraph" w:customStyle="1" w:styleId="13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33"/>
    <w:basedOn w:val="2"/>
    <w:uiPriority w:val="0"/>
  </w:style>
  <w:style w:type="character" w:customStyle="1" w:styleId="15">
    <w:name w:val="c44"/>
    <w:basedOn w:val="2"/>
    <w:uiPriority w:val="0"/>
  </w:style>
  <w:style w:type="character" w:customStyle="1" w:styleId="16">
    <w:name w:val="c0"/>
    <w:basedOn w:val="2"/>
    <w:uiPriority w:val="0"/>
  </w:style>
  <w:style w:type="paragraph" w:customStyle="1" w:styleId="17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49"/>
    <w:basedOn w:val="2"/>
    <w:uiPriority w:val="0"/>
  </w:style>
  <w:style w:type="character" w:customStyle="1" w:styleId="19">
    <w:name w:val="c40"/>
    <w:basedOn w:val="2"/>
    <w:uiPriority w:val="0"/>
  </w:style>
  <w:style w:type="paragraph" w:customStyle="1" w:styleId="20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c34"/>
    <w:basedOn w:val="2"/>
    <w:uiPriority w:val="0"/>
  </w:style>
  <w:style w:type="paragraph" w:customStyle="1" w:styleId="22">
    <w:name w:val="c5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31"/>
    <w:basedOn w:val="2"/>
    <w:qFormat/>
    <w:uiPriority w:val="0"/>
  </w:style>
  <w:style w:type="paragraph" w:customStyle="1" w:styleId="2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2"/>
    <w:basedOn w:val="2"/>
    <w:uiPriority w:val="0"/>
  </w:style>
  <w:style w:type="paragraph" w:customStyle="1" w:styleId="28">
    <w:name w:val="c4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3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c5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c29"/>
    <w:basedOn w:val="2"/>
    <w:uiPriority w:val="0"/>
  </w:style>
  <w:style w:type="paragraph" w:customStyle="1" w:styleId="34">
    <w:name w:val="c3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4</Pages>
  <Words>798</Words>
  <Characters>4554</Characters>
  <Lines>37</Lines>
  <Paragraphs>10</Paragraphs>
  <TotalTime>134</TotalTime>
  <ScaleCrop>false</ScaleCrop>
  <LinksUpToDate>false</LinksUpToDate>
  <CharactersWithSpaces>5342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2020-11-05T06:05:00Z</dcterms:created>
  <dc:creator>Оля .</dc:creator>
  <cp:lastModifiedBy>olgaf</cp:lastModifiedBy>
  <cp:lastPrinted>2023-11-02T07:38:00Z</cp:lastPrinted>
  <dcterms:modified xsi:type="dcterms:W3CDTF">2023-11-08T09:27:35Z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77EE8E62157848058A08CEE2AE9AD0CF_12</vt:lpwstr>
  </property>
</Properties>
</file>