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"/>
        <w:tblW w:w="5000" w:type="pct"/>
        <w:tblLook w:val="0000"/>
      </w:tblPr>
      <w:tblGrid>
        <w:gridCol w:w="9571"/>
      </w:tblGrid>
      <w:tr w:rsidR="00C04BBD" w:rsidRPr="000E7D9B" w:rsidTr="00C04BBD">
        <w:trPr>
          <w:trHeight w:val="674"/>
        </w:trPr>
        <w:tc>
          <w:tcPr>
            <w:tcW w:w="5000" w:type="pct"/>
            <w:tcBorders>
              <w:bottom w:val="thickThinSmallGap" w:sz="24" w:space="0" w:color="auto"/>
            </w:tcBorders>
          </w:tcPr>
          <w:p w:rsidR="00C04BBD" w:rsidRPr="000E7D9B" w:rsidRDefault="00C04BBD" w:rsidP="00C04BB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E7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C04BBD" w:rsidRPr="000E7D9B" w:rsidRDefault="00C04BBD" w:rsidP="00C04BB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E7D9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«дЕТСКИЙ САД «рЯБИНКА»</w:t>
            </w:r>
          </w:p>
        </w:tc>
      </w:tr>
    </w:tbl>
    <w:p w:rsidR="00C04BBD" w:rsidRDefault="00C04BBD">
      <w:pPr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</w:pPr>
    </w:p>
    <w:p w:rsidR="00C04BBD" w:rsidRPr="000E7D9B" w:rsidRDefault="00C04BBD" w:rsidP="00C0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BBD" w:rsidRPr="000E7D9B" w:rsidRDefault="00C04BBD" w:rsidP="00C0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5" w:tblpY="-247"/>
        <w:tblOverlap w:val="never"/>
        <w:tblW w:w="5000" w:type="pct"/>
        <w:tblLook w:val="01E0"/>
      </w:tblPr>
      <w:tblGrid>
        <w:gridCol w:w="5475"/>
        <w:gridCol w:w="4096"/>
      </w:tblGrid>
      <w:tr w:rsidR="00C04BBD" w:rsidRPr="000E7D9B" w:rsidTr="00C04BBD">
        <w:tc>
          <w:tcPr>
            <w:tcW w:w="2860" w:type="pct"/>
            <w:shd w:val="clear" w:color="auto" w:fill="auto"/>
          </w:tcPr>
          <w:p w:rsidR="00C04BBD" w:rsidRPr="000E7D9B" w:rsidRDefault="00C04BBD" w:rsidP="00317A90">
            <w:pPr>
              <w:spacing w:after="0" w:line="284" w:lineRule="exact"/>
              <w:ind w:right="1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pct"/>
            <w:shd w:val="clear" w:color="auto" w:fill="auto"/>
          </w:tcPr>
          <w:p w:rsidR="00C04BBD" w:rsidRPr="000E7D9B" w:rsidRDefault="00C04BBD" w:rsidP="00317A90">
            <w:pPr>
              <w:spacing w:after="0" w:line="284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4BBD" w:rsidRPr="000E7D9B" w:rsidRDefault="00C04BBD" w:rsidP="00C04BBD">
      <w:pPr>
        <w:rPr>
          <w:rFonts w:ascii="Times New Roman" w:hAnsi="Times New Roman" w:cs="Times New Roman"/>
          <w:b/>
          <w:sz w:val="24"/>
          <w:szCs w:val="40"/>
        </w:rPr>
      </w:pPr>
    </w:p>
    <w:p w:rsidR="00C04BBD" w:rsidRDefault="00C04BBD" w:rsidP="00C04BBD">
      <w:pPr>
        <w:rPr>
          <w:rFonts w:ascii="Times New Roman" w:hAnsi="Times New Roman" w:cs="Times New Roman"/>
          <w:b/>
          <w:sz w:val="40"/>
          <w:szCs w:val="40"/>
        </w:rPr>
      </w:pPr>
      <w:r w:rsidRPr="000E7D9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60EF2" w:rsidRPr="000E7D9B" w:rsidRDefault="00560EF2" w:rsidP="00C04BBD">
      <w:pPr>
        <w:rPr>
          <w:rFonts w:ascii="Times New Roman" w:hAnsi="Times New Roman" w:cs="Times New Roman"/>
          <w:b/>
          <w:sz w:val="40"/>
          <w:szCs w:val="40"/>
        </w:rPr>
      </w:pPr>
    </w:p>
    <w:p w:rsidR="00C04BBD" w:rsidRPr="000E7D9B" w:rsidRDefault="00C04BBD" w:rsidP="00C04B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4BBD" w:rsidRDefault="00C04BBD" w:rsidP="00C04BBD">
      <w:pPr>
        <w:spacing w:after="0" w:line="240" w:lineRule="auto"/>
        <w:ind w:firstLine="709"/>
        <w:jc w:val="center"/>
        <w:textAlignment w:val="baseline"/>
        <w:outlineLvl w:val="0"/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  <w:t>Музыкально — творческий проект</w:t>
      </w:r>
    </w:p>
    <w:p w:rsidR="00C04BBD" w:rsidRDefault="00C04BBD" w:rsidP="00C04BBD">
      <w:pPr>
        <w:spacing w:after="0" w:line="240" w:lineRule="auto"/>
        <w:ind w:firstLine="709"/>
        <w:jc w:val="center"/>
        <w:textAlignment w:val="baseline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«ИГРАЕМ В ОРКЕСТРЕ ВМЕСТЕ С МАМОЙ»</w:t>
      </w:r>
    </w:p>
    <w:p w:rsidR="00C04BBD" w:rsidRPr="00C04BBD" w:rsidRDefault="00C04BBD" w:rsidP="00C04BBD">
      <w:pPr>
        <w:spacing w:after="0" w:line="240" w:lineRule="auto"/>
        <w:ind w:firstLine="709"/>
        <w:jc w:val="center"/>
        <w:textAlignment w:val="baseline"/>
        <w:outlineLvl w:val="0"/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детей 5 – 6 лет и их родителей</w:t>
      </w:r>
    </w:p>
    <w:p w:rsidR="00C04BBD" w:rsidRDefault="00C04BBD" w:rsidP="00C04B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0EF2" w:rsidRDefault="00560EF2" w:rsidP="00C04B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0EF2" w:rsidRDefault="00560EF2" w:rsidP="00C04B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0EF2" w:rsidRDefault="00560EF2" w:rsidP="00C04B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0EF2" w:rsidRDefault="00560EF2" w:rsidP="00C04B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0EF2" w:rsidRDefault="00560EF2" w:rsidP="00C04B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0EF2" w:rsidRPr="000E7D9B" w:rsidRDefault="00560EF2" w:rsidP="00C04B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4BBD" w:rsidRPr="000E7D9B" w:rsidRDefault="00C04BBD" w:rsidP="00C04BBD">
      <w:pPr>
        <w:rPr>
          <w:rFonts w:ascii="Times New Roman" w:hAnsi="Times New Roman" w:cs="Times New Roman"/>
          <w:b/>
          <w:sz w:val="40"/>
          <w:szCs w:val="40"/>
        </w:rPr>
      </w:pPr>
    </w:p>
    <w:p w:rsidR="00C04BBD" w:rsidRPr="008256FF" w:rsidRDefault="008256FF" w:rsidP="004A28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4A282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A282D">
        <w:rPr>
          <w:rFonts w:ascii="Times New Roman" w:hAnsi="Times New Roman" w:cs="Times New Roman"/>
          <w:b/>
          <w:sz w:val="28"/>
          <w:szCs w:val="28"/>
        </w:rPr>
        <w:t>Тавлуева</w:t>
      </w:r>
      <w:proofErr w:type="spellEnd"/>
      <w:r w:rsidR="004A282D">
        <w:rPr>
          <w:rFonts w:ascii="Times New Roman" w:hAnsi="Times New Roman" w:cs="Times New Roman"/>
          <w:b/>
          <w:sz w:val="28"/>
          <w:szCs w:val="28"/>
        </w:rPr>
        <w:t xml:space="preserve"> Г.И.</w:t>
      </w:r>
      <w:bookmarkStart w:id="0" w:name="_GoBack"/>
      <w:bookmarkEnd w:id="0"/>
    </w:p>
    <w:p w:rsidR="00C04BBD" w:rsidRDefault="00C04BBD" w:rsidP="0056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BBD" w:rsidRDefault="00C04BBD" w:rsidP="00C04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82D" w:rsidRDefault="004A282D" w:rsidP="0056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2D" w:rsidRDefault="004A282D" w:rsidP="00C04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82D" w:rsidRDefault="004A282D" w:rsidP="00C04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BBD" w:rsidRDefault="00C04BBD" w:rsidP="0056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BBD" w:rsidRDefault="00C04BBD" w:rsidP="00C04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C08" w:rsidRPr="004A282D" w:rsidRDefault="00C04BBD" w:rsidP="004A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D9B">
        <w:rPr>
          <w:rFonts w:ascii="Times New Roman" w:hAnsi="Times New Roman" w:cs="Times New Roman"/>
          <w:sz w:val="24"/>
          <w:szCs w:val="24"/>
        </w:rPr>
        <w:t>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345CD7" w:rsidRPr="00C04BBD" w:rsidRDefault="00560EF2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345CD7"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появлением федеральных государственных образовательных стандартов, где одной из ведущей целью является гармоничное развитие личности ребенка,</w:t>
      </w:r>
      <w:r w:rsidR="00291069"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появилась необходимость </w:t>
      </w:r>
      <w:proofErr w:type="gramStart"/>
      <w:r w:rsidR="00291069"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создания современной модели </w:t>
      </w:r>
      <w:r w:rsidR="00345CD7"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взаимосвязи участников образовательного процесса</w:t>
      </w:r>
      <w:proofErr w:type="gramEnd"/>
      <w:r w:rsidR="00345CD7"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. Гармоничное развитие ребенка происходит при условии наличия двух составляющих его жизни – полноценной семьи и детского сада. Семья обеспечивает необходимые ребенку личностные взаимоотношения, формирование чувства защищенности, доверия и открытости миру. Вместе с тем, семья сама нуждается в поддержке, которую призван оказывать ей детский сад, в данном случае – музыкальный руководитель.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Система сопровождения и консультирования семьи должна осуществляться через взаимодействие участников образовательного процесса, которое выступает основным компонентом образовательной среды.</w:t>
      </w:r>
    </w:p>
    <w:p w:rsidR="00291069" w:rsidRPr="00C04BBD" w:rsidRDefault="00291069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C04BB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целью</w:t>
      </w: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моделирования положительного эмоционального состояния у детей дошкольного возраста посредством игры в шумовом оркестре вместе с мамой, развития музыкальных и исполнительских способностей в процессе </w:t>
      </w:r>
      <w:proofErr w:type="spellStart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музицирования</w:t>
      </w:r>
      <w:proofErr w:type="spellEnd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разработан проект модели взаимодействия родителей, музыкального руководителя дошкольного образовательного учреждения и дошкольников.</w:t>
      </w:r>
    </w:p>
    <w:p w:rsidR="00345CD7" w:rsidRPr="004A282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282D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Разработан план по взаимодействию музыкального руководителя с родителями и их детьми для достижения поставленной цели. Проект подразумевает деление всего срока реализации проекта на 5 учебных месяцев — с января по май.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Актуальность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рамках нового образовательного стандарта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Из этого следует, что родители должны тесно взаимодействовать в создании условий для полноценного и своевременного развития ребенка дошкольного возраста, чтобы не упустить важнейший период развития его личности.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Это направление самое востребованное, полезное, но и самое трудное. Это объясняется тем, что любое совместное мероприятие позволяет родителям увидеть изнутри проблемы своего ребёнка, увидеть трудности во взаимоотношениях, приобрести опыт взаимодействия не только со своим ребёнком, но и с родительской общественностью в целом.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Проект «Играем в оркестре вместе с мамой» помогает родителю: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увидеть отличие мира детей от мира взрослых;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преодолеть авторитарное отношение к ребенку;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относиться к нему, как равному себе, и понимать, что недопустимо сравнивать его с другими детьми;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открывать сильные и слабые стороны ребенка и учитывать их в решении задач воспитания;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— проявлять искреннюю заинтересованность в действиях ребенка и быть готовым к эмоциональной поддержке;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понять, что путем одностороннего воздействия ничего не сделать, можно лишь подавить или запугать ребенка.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Семья для ребенка – это еще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В дошкольном периоде музыкальное воспитание играет важную роль в формировании личности ребёнка, развитии эстетических чувств, художественного вкуса, творческой активности и нравственных качеств.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Данный проект предназначен для улучшения знаний о музыкальных инструментах, развития интереса к основам музыкальной грамоты, чувства ритма, слуха, музыкального творчества.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Музицирование расширяет сферу музыкальной деятельности дошкольников, способствует развитию музыкальной памяти, внимания, помогает преодолению излишней застенчивости, скованности, расширяет музыкальное воспитание ребёнка. 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А помогут нам наши родители – наши партнёры!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Взаимодействие ДОУ с семьей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 – это объединение общих целей, интересов и деятельности в плане развития гармоничного и здорового ребенка.</w:t>
      </w:r>
    </w:p>
    <w:p w:rsidR="00291069" w:rsidRPr="00C04BBD" w:rsidRDefault="00291069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91069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Новизна: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 гармонизация детско-родительских отношений, реализуя принцип сотрудничества детей и взрослых, путём организации совместной музыкально – исполнительской деятельности (игры в оркестре); в содействии развития у детей коммуникативных способностей, творческой инициативы, сообразительности, пытливости, самостоятельности.</w:t>
      </w:r>
    </w:p>
    <w:p w:rsidR="00C04BBD" w:rsidRPr="00C04BBD" w:rsidRDefault="00C04BBD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Описание проекта: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Проект направлен на моделирование положительного эмоционального состояния у детей дошкольного возраста посредством игры в шумовом оркестре вместе с мамой (родителями), формирование духовно — нравственного воспитания, способствует созданию единого воспитательного пространства дошкольного образовательного учреждения и семьи, объединенных общей гуманитарной направленностью на приобщение детей к культуре. Проект обеспечивает успешное взаимодействие с различными субъектами социума, выстраивание партнерских отношений между ними, за счет проведения занятий и досуговых мероприятий.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Вид проекта: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 познавательный, обучающий, творческий.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Продолжительность: </w:t>
      </w:r>
      <w:proofErr w:type="gramStart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долгосрочный</w:t>
      </w:r>
      <w:proofErr w:type="gramEnd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Цель проекта:</w:t>
      </w:r>
      <w:r w:rsidR="00A06290"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моделирование положительного эмоционального состояния у детей дошкольного возраста посредством игры в шумовом оркестре вместе с мамой.</w:t>
      </w: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</w:t>
      </w:r>
      <w:r w:rsidR="00291069"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Развитие музыкальных и исполнительских способностей в процессе </w:t>
      </w:r>
      <w:proofErr w:type="spellStart"/>
      <w:r w:rsidR="00291069"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музицирования</w:t>
      </w:r>
      <w:proofErr w:type="spellEnd"/>
      <w:r w:rsidR="00291069"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Задачи проекта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Обучающие:</w:t>
      </w:r>
    </w:p>
    <w:p w:rsidR="00345CD7" w:rsidRPr="00C04BBD" w:rsidRDefault="00345CD7" w:rsidP="00C04BBD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Привлечь внимание детей и родителей к богатому и разнообразному миру звуков.</w:t>
      </w:r>
    </w:p>
    <w:p w:rsidR="00345CD7" w:rsidRPr="00C04BBD" w:rsidRDefault="00345CD7" w:rsidP="00C04BBD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Познакомить с музыкальными инструментами и приемами игры на них.</w:t>
      </w:r>
    </w:p>
    <w:p w:rsidR="00345CD7" w:rsidRPr="00C04BBD" w:rsidRDefault="00345CD7" w:rsidP="00C04BBD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Использовать музыкальные инструменты для озвучивания стихов, сказок.</w:t>
      </w:r>
    </w:p>
    <w:p w:rsidR="00345CD7" w:rsidRPr="00C04BBD" w:rsidRDefault="00345CD7" w:rsidP="00C04BBD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Исполнять небольшие музыкальные произведения с аккомпанементом на музыкальных инструментах.</w:t>
      </w:r>
    </w:p>
    <w:p w:rsidR="00345CD7" w:rsidRPr="00C04BBD" w:rsidRDefault="00345CD7" w:rsidP="00C04BBD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Уметь слышать свою партию в многоголосной фактуре;</w:t>
      </w:r>
    </w:p>
    <w:p w:rsidR="00345CD7" w:rsidRPr="00C04BBD" w:rsidRDefault="00345CD7" w:rsidP="00C04BBD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Развивать чувство ансамбля, слаженность звучания оркестра (ансамбля);</w:t>
      </w:r>
    </w:p>
    <w:p w:rsidR="00345CD7" w:rsidRPr="00C04BBD" w:rsidRDefault="00345CD7" w:rsidP="00C04BBD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Вовлечь родителей в образовательный процесс для совместной работы по музицированию.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Развивающие: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Развивать тонкость и чуткость музыкального слуха, фантазию в </w:t>
      </w:r>
      <w:proofErr w:type="spellStart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звукотворчестве</w:t>
      </w:r>
      <w:proofErr w:type="spellEnd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, ассоциативное мышление и воображение.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2. Развивать тембровый, динамический, ритмический слух.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3. Развивать у детей чувство уверенности в себе.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4. Развивать коммуникативные функции речи у дошкольников.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Воспитательные: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1. Способствовать формированию благоприятного эмоционального фона средствами игры в оркестре вместе с мамой (родителями).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2. Формировать целеустремленность, чувство коллективизма, ответственность, дисциплинированность.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3. Воспитывать у детей выдержку, настойчивость в достижении цели.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Направленность: 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дети, родители.</w:t>
      </w:r>
    </w:p>
    <w:p w:rsid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Проект состоит из 3х основных этапов:</w:t>
      </w:r>
    </w:p>
    <w:p w:rsidR="00345CD7" w:rsidRPr="00C04BBD" w:rsidRDefault="00C04BBD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1. </w:t>
      </w:r>
      <w:r w:rsidR="00345CD7"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Подготовительный этап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345CD7"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(январь).</w:t>
      </w:r>
    </w:p>
    <w:p w:rsidR="00345CD7" w:rsidRPr="00C04BBD" w:rsidRDefault="00345CD7" w:rsidP="00C04BBD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Организационное занятие.</w:t>
      </w:r>
    </w:p>
    <w:p w:rsidR="00345CD7" w:rsidRPr="00C04BBD" w:rsidRDefault="00345CD7" w:rsidP="00C04BBD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Беседа с детьми и родителями о предстоящей деятельности.</w:t>
      </w:r>
    </w:p>
    <w:p w:rsidR="00345CD7" w:rsidRPr="00C04BBD" w:rsidRDefault="00345CD7" w:rsidP="00C04BBD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Знакомство с планом работы.</w:t>
      </w:r>
    </w:p>
    <w:p w:rsidR="00345CD7" w:rsidRPr="00C04BBD" w:rsidRDefault="00345CD7" w:rsidP="00C04BBD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Слушание музыкальных произведений, которые буду аранжированы.</w:t>
      </w:r>
    </w:p>
    <w:p w:rsidR="00C04BBD" w:rsidRDefault="00345CD7" w:rsidP="00C04BBD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Знакомство с музыкальными инструментами.</w:t>
      </w:r>
    </w:p>
    <w:p w:rsidR="00345CD7" w:rsidRPr="00C04BBD" w:rsidRDefault="00C04BBD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="00345CD7"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Практический этап</w:t>
      </w:r>
      <w:r w:rsidR="00345CD7"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 (февраль — май)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Обучающий процесс: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Групповые занятия для родителей и детей — </w:t>
      </w:r>
      <w:r w:rsidR="00A06290"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1 занятие в месяц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Индивидуальные и подгрупповые занятия для детей — 1 за</w:t>
      </w:r>
      <w:r w:rsidR="00A06290"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нятие в неделю</w:t>
      </w:r>
    </w:p>
    <w:p w:rsidR="00345CD7" w:rsidRPr="00C04BBD" w:rsidRDefault="00345CD7" w:rsidP="00C04BBD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Заключительный этап 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(май).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Итоговые мероприятия: Концертная программа для детей и роди</w:t>
      </w:r>
      <w:r w:rsidR="00A06290"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телей.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Музыкально-творческий проект «Играем в оркестре вместе с мамой» рассчитан на дополнительные занятия с детьми и родителями в вечернее время и имеет цель расширить музыкальный кругозор детей и родителей, углубить получаемые ими музыкальные знания, а также совершенствовать исполнительские навыки и умения, формировать умение взаимодействовать с партнёрами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Практический этап состоит из тематических разделов: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«Знакомство с инструментами и оркестрами»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 — знакомство с различными инструментами, историей создания, с видами оркестров.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«Элементарные музыкальные знания»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 — уметь различать звуки по высоте, длительности, динамике, уметь проигрывать ритмические формулы, музыкально-дидактические игры.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«Игра на музыкальных инструментах»</w:t>
      </w: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— 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обучение приемам игры на инструменте, разучивание музыкальных партий, умение играть в ансамбле (оркестре), музицирование.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«Творческие задания»</w:t>
      </w: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 — инструментальная импровизация, изготовление музыкальных инструментов «своими руками», озвучивание сказок и стихов.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Перспективный план работы.</w:t>
      </w:r>
    </w:p>
    <w:tbl>
      <w:tblPr>
        <w:tblW w:w="5000" w:type="pct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5565"/>
        <w:gridCol w:w="2835"/>
      </w:tblGrid>
      <w:tr w:rsidR="00C731B6" w:rsidRPr="00C04BBD" w:rsidTr="00291069">
        <w:trPr>
          <w:tblCellSpacing w:w="15" w:type="dxa"/>
        </w:trPr>
        <w:tc>
          <w:tcPr>
            <w:tcW w:w="408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Музыкальный репертуар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Знакомство с инструментами: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Знакомство с игрой на </w:t>
            </w: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металлофоне</w:t>
            </w: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Учить детей и родителей самостоятельно брать и правильно держать молоточек,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помахивать им свободно в воздухе (сравнить звук зажатого в руке молоточка и молоточка, свободно держащего),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добиваться отскакивания молоточка от пластинки, стремится к красивому звуку.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Постукивать им по ладошке и по кубику, по столу, выполнять </w:t>
            </w:r>
            <w:proofErr w:type="spell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glissando</w:t>
            </w:r>
            <w:proofErr w:type="spellEnd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 воздухе и на столе с поворотом кисти.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«Вальс» муз. Филиппенко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Элементарные музыкальные знания: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Высокие и низкие звуки,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Поступенное движение мелодии.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Что такое «вступление» и «заключение».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«Птица и птенчики» Е. Тиличеевой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«Лесенка»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Игра в оркестр: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Учить детей и родителей вместе начинать игру на инструменте.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Соблюдать общий темп.</w:t>
            </w:r>
          </w:p>
          <w:p w:rsidR="00345CD7" w:rsidRPr="00C04BBD" w:rsidRDefault="00751DE0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Выполнять просто</w:t>
            </w:r>
            <w:r w:rsidR="00345CD7"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й ритмический рисунок на металлофоне.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Использовать схемы игры на металлофоне.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Схемы «Андрей – воробей»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«Вальс» муз Филиппенко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Творческие задания: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Учить детей передавать ритмический рисунок своего имени ударами по металлофону.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Та-ня</w:t>
            </w:r>
            <w:proofErr w:type="spellEnd"/>
            <w:proofErr w:type="gramEnd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Ма-ша</w:t>
            </w:r>
            <w:proofErr w:type="spellEnd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т.д.»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Знакомство с инструментами и оркестрами: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Знакомство с приемами игры на </w:t>
            </w: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бубне: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удар ладошкой,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удар кулачком (косточками) по донцу,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встряхивание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держать бубен в левой руке – ударять правой рукой, встряхивание производить правой рукой.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Знакомство с игрой на </w:t>
            </w: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колокольчиках — </w:t>
            </w: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показ приемов игры: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удар палочкой,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встряхивание толчком пальцев,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прием «трель».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держать колокольчик: вертикально, не зажимая кисть, свободно встряхивать и ставить на ладошку.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Познакомить со звучанием оркестра русских народных инструментов.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«Итальянская полька» муз Рахманинова, Видеозапись русского народного оркестра.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Слушание колокольного звона.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Элементарные музыкальные знания: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Динамика музыки (тихо — громко)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Познакомить с метроритмической организацией музыки – темп, метрический пульс, сильная доля.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«Тихие и громкие звоночки» Р. </w:t>
            </w:r>
            <w:proofErr w:type="spell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Игра «Тихо — громко»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Игра в оркестр: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Учить детей вместе заканчивать игру на инструменте. Соблюдать общую динамику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Выполнять простей ритмический рисунок, используя музыкальные инструменты: металлофон, колокольчик, бубен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«Итальянская полька» муз Рахманинова</w:t>
            </w:r>
            <w:proofErr w:type="gram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«Вальс» муз Филиппенко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Творческие задания: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Учить детей передавать ритмический рисунок своего </w:t>
            </w:r>
            <w:proofErr w:type="gram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имени</w:t>
            </w:r>
            <w:proofErr w:type="gramEnd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на музыкальном инструменте используя металлофон, бубен, колокольчик.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proofErr w:type="gram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Са-ша</w:t>
            </w:r>
            <w:proofErr w:type="spellEnd"/>
            <w:proofErr w:type="gramEnd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Де-нис</w:t>
            </w:r>
            <w:proofErr w:type="spellEnd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</w:t>
            </w: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т.д.»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Знакомство с инструментами и оркестрами: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Знакомство с игрой на </w:t>
            </w: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деревянных ложках.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Показ приемов игры на ложках: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— учить держать деревянные ложки в руках;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— ритмично ударять «щечкой» по «щечке», прием «ладушки»;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— правильно выполнять приём «щелчок»,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— выполнять приём «солнышко»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Познакомить с ансамблем ложкарей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«Коробейники» русская народная мелодия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Видеозапись «Ансамбль ложкарей»</w:t>
            </w:r>
          </w:p>
        </w:tc>
      </w:tr>
      <w:tr w:rsidR="00C731B6" w:rsidRPr="00C04BBD" w:rsidTr="00C04BBD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5CD7" w:rsidRPr="00C04BBD" w:rsidRDefault="00345CD7" w:rsidP="00C04BBD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Элементарные музыкальные знания</w:t>
            </w: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  <w:p w:rsidR="00345CD7" w:rsidRPr="00C04BBD" w:rsidRDefault="00345CD7" w:rsidP="00C04BBD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Долгие и короткие звуки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Игра «Та — та; </w:t>
            </w:r>
            <w:proofErr w:type="spell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Та – долгий звук, </w:t>
            </w:r>
            <w:proofErr w:type="spell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– короткий звук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Игра в оркестр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Слышать смену музыкальных фраз, менять приёмы игры на смену музыкальной фразы, играя отмечать сильную долю.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«Полянка» русская народная мелодия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Творческие задания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Играть на музыкальных инструментах, используя ритмические схемы (долгие и короткие звуки)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Схемы игры на инструментах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Знакомство с инструментами и оркестрами: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Знакомство с ударно-шумовыми инструментами </w:t>
            </w: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треугольник, тарелки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Обучение приемам игры на них: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удар палочкой по сторонам треугольника;</w:t>
            </w: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тремоло.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Познакомить с симфоническим оркестром: ударной группой (тарелки, треугольник)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«Шарманка» муз Шостаковича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Элементарные музыкальные знания</w:t>
            </w: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Слушать 2х – частность в музыке, соответственно менять ритм (возможно инструмент)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«Итальянская </w:t>
            </w: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полька» муз Рахманинова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Игра в оркестр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Слышать смену музыкальных предложений.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Игра «Ритмическое эхо» учить детей без ошибки повторять ритмический рисунок, исполненный педагогом.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Выполнять простей ритмический рисунок, используя ударные инструменты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«Ритмическое эхо»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Творческие задания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Уметь отгадать звучание музыкального инструмента и повторить ритмический рисунок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Игра «Музыкальный магазин»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Знакомство с инструментами: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Познакомить родителей и детей с</w:t>
            </w: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шумелками</w:t>
            </w:r>
            <w:proofErr w:type="spellEnd"/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приёмами игры на них и предложить изготовить их своими руками.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помощью дирижёра аранжировать музыкальную пьесу «Музыкальная табакерка»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«Лошадка» Е. Тиличеевой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Элементарные музыкальные знания</w:t>
            </w: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«Музыкальные» и «Шумовые» звуки.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Музыкальные и шумовые инструменты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Игра в оркестр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Играем с дирижёром.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Слышать смену частей произведения.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Выполнять простейший ритмический рисунок, используя «</w:t>
            </w:r>
            <w:proofErr w:type="spell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шумелки</w:t>
            </w:r>
            <w:proofErr w:type="spellEnd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«Полька М. Глинка»</w:t>
            </w:r>
          </w:p>
        </w:tc>
      </w:tr>
      <w:tr w:rsidR="00C731B6" w:rsidRPr="00C04BBD" w:rsidTr="00291069">
        <w:trPr>
          <w:tblCellSpacing w:w="15" w:type="dxa"/>
        </w:trPr>
        <w:tc>
          <w:tcPr>
            <w:tcW w:w="408" w:type="pct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Творческие задания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Создать мастерскую для изготовления шумовых инструментов – «</w:t>
            </w:r>
            <w:proofErr w:type="spell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шумелок</w:t>
            </w:r>
            <w:proofErr w:type="spellEnd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»: маракасов, «лошадок», бубенчиков, «капелек», «стука дятла», «ручейка», «скрип дерева».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Озвучивание стихотворения «Весна идёт»</w:t>
            </w:r>
          </w:p>
          <w:p w:rsidR="00345CD7" w:rsidRPr="00C04BBD" w:rsidRDefault="00345CD7" w:rsidP="00C04BB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3" w:type="pc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5CD7" w:rsidRPr="00C04BBD" w:rsidRDefault="00345CD7" w:rsidP="00C04B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«Музыкальная табакерка» муз </w:t>
            </w:r>
            <w:proofErr w:type="spellStart"/>
            <w:r w:rsidRPr="00C04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Лядова</w:t>
            </w:r>
            <w:proofErr w:type="spellEnd"/>
          </w:p>
        </w:tc>
      </w:tr>
    </w:tbl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Планируемый результат.</w:t>
      </w:r>
    </w:p>
    <w:p w:rsidR="00345CD7" w:rsidRPr="00C04BBD" w:rsidRDefault="00345CD7" w:rsidP="00C04BBD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знать названия музыкальных инструментов и правила их хранения;</w:t>
      </w:r>
    </w:p>
    <w:p w:rsidR="00345CD7" w:rsidRPr="00C04BBD" w:rsidRDefault="00345CD7" w:rsidP="00C04BBD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уметь различать на слух тембры музыкальных инструментов и осознавать их выразительную сущность;</w:t>
      </w:r>
    </w:p>
    <w:p w:rsidR="00345CD7" w:rsidRPr="00C04BBD" w:rsidRDefault="00345CD7" w:rsidP="00C04BBD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овладеть приемами и способами игры на каждом инструменте;</w:t>
      </w:r>
    </w:p>
    <w:p w:rsidR="00345CD7" w:rsidRPr="00C04BBD" w:rsidRDefault="00345CD7" w:rsidP="00C04BBD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осознавать выразительность музыкальных средств и владеть способами их передачи в инструментальном исполнении;</w:t>
      </w:r>
    </w:p>
    <w:p w:rsidR="00345CD7" w:rsidRPr="00C04BBD" w:rsidRDefault="00345CD7" w:rsidP="00C04BBD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овладеть навыками ансамблевого </w:t>
      </w:r>
      <w:proofErr w:type="spellStart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музицирования</w:t>
      </w:r>
      <w:proofErr w:type="spellEnd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, подбора по слуху несложных мелодий, уметь корректировать качество исполнения товарищами различных партий в несложных хорошо знакомых произведениях;</w:t>
      </w:r>
    </w:p>
    <w:p w:rsidR="00345CD7" w:rsidRPr="00C04BBD" w:rsidRDefault="00345CD7" w:rsidP="00C04BBD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знать расположение высоких и низких звуков на инструментах со звукорядом;</w:t>
      </w:r>
    </w:p>
    <w:p w:rsidR="00345CD7" w:rsidRPr="00C04BBD" w:rsidRDefault="00345CD7" w:rsidP="00C04BBD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уметь ориентироваться в записи несложных партитур (схем) и грамотно прочесть свою партитуру (схему).</w:t>
      </w:r>
    </w:p>
    <w:p w:rsidR="00345CD7" w:rsidRPr="00C04BBD" w:rsidRDefault="00345CD7" w:rsidP="00C04BBD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Организовать концерт оркестра в детском саду (май).</w:t>
      </w:r>
    </w:p>
    <w:p w:rsidR="00C04BBD" w:rsidRPr="00C04BBD" w:rsidRDefault="00C04BBD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Материально-техническое обеспечение.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Технические средства:</w:t>
      </w:r>
    </w:p>
    <w:p w:rsidR="00345CD7" w:rsidRPr="00C04BBD" w:rsidRDefault="00617C75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— </w:t>
      </w:r>
      <w:r w:rsidR="00345CD7"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фортепиано музыкального зала;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музыкальный центр;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аудиозапись звучания «Симфонического оркестра», «Оркестра русских народных инструментов», Ансамбля ложкарей.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компьютер;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мультимедиа.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Методическое сопровождение проекта: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перспективный план проекта;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иллюстрации с изображением музыкальных инструментов;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ритмические карточки;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музыкально-дидактические игры «Лесенка», «Музыкальный магазин»;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шумовые инструменты сделанные «своими руками» — «</w:t>
      </w:r>
      <w:proofErr w:type="spellStart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шумелки</w:t>
      </w:r>
      <w:proofErr w:type="spellEnd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картотека загадок о музыкальных инструментах;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картотека пальчиковых игр;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картотека упражнений для развития чувства ритма;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сказки о музыкальных инструментах;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стихи;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— презентации о музыкальных инструментах.</w:t>
      </w:r>
    </w:p>
    <w:p w:rsidR="00345CD7" w:rsidRPr="00C04BBD" w:rsidRDefault="00345CD7" w:rsidP="00C04BB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Литература:</w:t>
      </w:r>
    </w:p>
    <w:p w:rsidR="00345CD7" w:rsidRPr="00C04BBD" w:rsidRDefault="00345CD7" w:rsidP="00C04BB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Радынова</w:t>
      </w:r>
      <w:proofErr w:type="spellEnd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О.П. «Музыкальное воспитание дошкольников». — М.: Просвещение: </w:t>
      </w:r>
      <w:proofErr w:type="spellStart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Владос</w:t>
      </w:r>
      <w:proofErr w:type="spellEnd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, 1994.</w:t>
      </w:r>
    </w:p>
    <w:p w:rsidR="00345CD7" w:rsidRPr="00C04BBD" w:rsidRDefault="00345CD7" w:rsidP="00C04BB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Ветлугина Н.А. «Музыкальное воспитание в детском саду». — М.: Просвещение. 1981.</w:t>
      </w:r>
    </w:p>
    <w:p w:rsidR="00345CD7" w:rsidRPr="00C04BBD" w:rsidRDefault="00345CD7" w:rsidP="00C04BB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Кононова Н.Г. «Обучаем игре на детских музыкальных инструментах». — 1990.</w:t>
      </w:r>
    </w:p>
    <w:p w:rsidR="00345CD7" w:rsidRPr="00C04BBD" w:rsidRDefault="00345CD7" w:rsidP="00C04BB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Метлов</w:t>
      </w:r>
      <w:proofErr w:type="spellEnd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Н. А. «Музыка – детям». — М.: Просвещение, 1985.</w:t>
      </w:r>
    </w:p>
    <w:p w:rsidR="00345CD7" w:rsidRPr="00C04BBD" w:rsidRDefault="00345CD7" w:rsidP="00C04BB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Буренина А. И., </w:t>
      </w:r>
      <w:proofErr w:type="spellStart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Тютюнникова</w:t>
      </w:r>
      <w:proofErr w:type="spellEnd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Т.Э. Тутти: «Программа музыкального воспитания детей дошкольного возраста». – СПб</w:t>
      </w:r>
      <w:proofErr w:type="gramStart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.: </w:t>
      </w:r>
      <w:proofErr w:type="gramEnd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РЖ «Музыкальная палитра», 2012 г.</w:t>
      </w:r>
    </w:p>
    <w:p w:rsidR="00345CD7" w:rsidRPr="00C04BBD" w:rsidRDefault="00345CD7" w:rsidP="00C04BB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И. </w:t>
      </w:r>
      <w:proofErr w:type="spellStart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Каплунова</w:t>
      </w:r>
      <w:proofErr w:type="spellEnd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И. </w:t>
      </w:r>
      <w:proofErr w:type="spellStart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Новоскольцева</w:t>
      </w:r>
      <w:proofErr w:type="spellEnd"/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«Этот удивительный ритм» развитие чувства ритма у детей: изд. «Композитор» СПб — 2005</w:t>
      </w:r>
    </w:p>
    <w:p w:rsidR="00345CD7" w:rsidRPr="00C04BBD" w:rsidRDefault="00345CD7" w:rsidP="00C04BB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04BBD">
        <w:rPr>
          <w:rFonts w:ascii="PT Astra Serif" w:eastAsia="Times New Roman" w:hAnsi="PT Astra Serif" w:cs="Times New Roman"/>
          <w:sz w:val="28"/>
          <w:szCs w:val="28"/>
          <w:lang w:eastAsia="ru-RU"/>
        </w:rPr>
        <w:t>Интернет-ресурсы.</w:t>
      </w:r>
    </w:p>
    <w:p w:rsidR="00DA2D29" w:rsidRPr="00C04BBD" w:rsidRDefault="00DA2D29" w:rsidP="00C04BB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DA2D29" w:rsidRPr="00C04BBD" w:rsidSect="00DA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79A8"/>
    <w:multiLevelType w:val="multilevel"/>
    <w:tmpl w:val="D4F0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F042A"/>
    <w:multiLevelType w:val="multilevel"/>
    <w:tmpl w:val="FB76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D78F8"/>
    <w:multiLevelType w:val="multilevel"/>
    <w:tmpl w:val="1F741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C4D77"/>
    <w:multiLevelType w:val="multilevel"/>
    <w:tmpl w:val="A180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C0F36"/>
    <w:multiLevelType w:val="multilevel"/>
    <w:tmpl w:val="775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62C96"/>
    <w:multiLevelType w:val="multilevel"/>
    <w:tmpl w:val="5F34E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CD7"/>
    <w:rsid w:val="00291069"/>
    <w:rsid w:val="00345CD7"/>
    <w:rsid w:val="00493AE2"/>
    <w:rsid w:val="004A282D"/>
    <w:rsid w:val="005051C1"/>
    <w:rsid w:val="00560EF2"/>
    <w:rsid w:val="00617C75"/>
    <w:rsid w:val="0068789E"/>
    <w:rsid w:val="00751DE0"/>
    <w:rsid w:val="008256FF"/>
    <w:rsid w:val="00A06290"/>
    <w:rsid w:val="00BA0C08"/>
    <w:rsid w:val="00C04BBD"/>
    <w:rsid w:val="00C731B6"/>
    <w:rsid w:val="00DA2D29"/>
    <w:rsid w:val="00EF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29"/>
  </w:style>
  <w:style w:type="paragraph" w:styleId="1">
    <w:name w:val="heading 1"/>
    <w:basedOn w:val="a"/>
    <w:link w:val="10"/>
    <w:uiPriority w:val="9"/>
    <w:qFormat/>
    <w:rsid w:val="00345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CD7"/>
    <w:rPr>
      <w:b/>
      <w:bCs/>
    </w:rPr>
  </w:style>
  <w:style w:type="character" w:styleId="a5">
    <w:name w:val="Hyperlink"/>
    <w:basedOn w:val="a0"/>
    <w:uiPriority w:val="99"/>
    <w:semiHidden/>
    <w:unhideWhenUsed/>
    <w:rsid w:val="00345CD7"/>
    <w:rPr>
      <w:color w:val="0000FF"/>
      <w:u w:val="single"/>
    </w:rPr>
  </w:style>
  <w:style w:type="character" w:styleId="a6">
    <w:name w:val="Emphasis"/>
    <w:basedOn w:val="a0"/>
    <w:uiPriority w:val="20"/>
    <w:qFormat/>
    <w:rsid w:val="00345C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Морячок</cp:lastModifiedBy>
  <cp:revision>15</cp:revision>
  <dcterms:created xsi:type="dcterms:W3CDTF">2019-03-09T14:08:00Z</dcterms:created>
  <dcterms:modified xsi:type="dcterms:W3CDTF">2019-03-25T12:14:00Z</dcterms:modified>
</cp:coreProperties>
</file>