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B5CC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/>
        <w:jc w:val="center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Муниципальное бюджетное дошкольное образовательное учреждение</w:t>
      </w: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«Детский сад комбинированного вида №26»</w:t>
      </w: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b w:val="1"/>
          <w:color w:val="000000"/>
          <w:sz w:val="48"/>
        </w:rPr>
      </w:pPr>
      <w:r>
        <w:rPr>
          <w:rStyle w:val="C3"/>
          <w:rFonts w:ascii="Calibri" w:hAnsi="Calibri"/>
          <w:b w:val="1"/>
          <w:color w:val="000000"/>
          <w:sz w:val="48"/>
        </w:rPr>
        <w:t xml:space="preserve"> </w:t>
      </w:r>
    </w:p>
    <w:p>
      <w:pPr>
        <w:pStyle w:val="P1"/>
        <w:shd w:val="clear" w:fill="FFFFFF"/>
        <w:spacing w:before="0" w:after="0"/>
        <w:jc w:val="center"/>
        <w:rPr>
          <w:rStyle w:val="C3"/>
          <w:rFonts w:ascii="Calibri" w:hAnsi="Calibri"/>
          <w:b w:val="1"/>
          <w:color w:val="000000"/>
          <w:sz w:val="48"/>
        </w:rPr>
      </w:pPr>
      <w:r>
        <w:rPr>
          <w:rStyle w:val="C3"/>
          <w:rFonts w:ascii="Calibri" w:hAnsi="Calibri"/>
          <w:b w:val="1"/>
          <w:color w:val="000000"/>
          <w:sz w:val="48"/>
        </w:rPr>
        <w:t xml:space="preserve"> Консультация для педагогов</w:t>
      </w:r>
    </w:p>
    <w:p>
      <w:pPr>
        <w:pStyle w:val="P1"/>
        <w:shd w:val="clear" w:fill="FFFFFF"/>
        <w:spacing w:before="0" w:after="0"/>
        <w:jc w:val="center"/>
        <w:rPr>
          <w:rStyle w:val="C3"/>
          <w:rFonts w:ascii="Calibri" w:hAnsi="Calibri"/>
          <w:b w:val="1"/>
          <w:color w:val="000000"/>
          <w:sz w:val="48"/>
        </w:rPr>
      </w:pPr>
      <w:r>
        <w:rPr>
          <w:rFonts w:ascii="Calibri" w:hAnsi="Calibri"/>
          <w:b w:val="1"/>
          <w:color w:val="000000"/>
          <w:sz w:val="48"/>
        </w:rPr>
        <w:t>"</w:t>
      </w:r>
      <w:r>
        <w:rPr>
          <w:rFonts w:ascii="Calibri" w:hAnsi="Calibri"/>
          <w:b w:val="1"/>
          <w:color w:val="000000"/>
          <w:sz w:val="48"/>
        </w:rPr>
        <w:t>Деятельность педагога-психолога в группах компенсирующей направленности</w:t>
      </w:r>
      <w:r>
        <w:rPr>
          <w:rFonts w:ascii="Calibri" w:hAnsi="Calibri"/>
          <w:b w:val="1"/>
          <w:color w:val="000000"/>
          <w:sz w:val="48"/>
        </w:rPr>
        <w:t>"</w:t>
      </w:r>
      <w:r>
        <w:rPr>
          <w:rFonts w:ascii="Calibri" w:hAnsi="Calibri"/>
          <w:b w:val="1"/>
          <w:color w:val="000000"/>
          <w:sz w:val="48"/>
        </w:rPr>
        <w:t>.</w:t>
      </w: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b w:val="1"/>
          <w:color w:val="000000"/>
          <w:sz w:val="4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 xml:space="preserve">Педагог-психолог </w:t>
      </w: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МБДОУ Д/с №26</w:t>
      </w: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Нигматуллина</w:t>
      </w: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 xml:space="preserve"> Гульгина</w:t>
      </w:r>
    </w:p>
    <w:p>
      <w:pPr>
        <w:pStyle w:val="P1"/>
        <w:shd w:val="clear" w:fill="FFFFFF"/>
        <w:spacing w:before="0" w:after="0"/>
        <w:jc w:val="right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Жаудатовна</w:t>
      </w:r>
    </w:p>
    <w:p>
      <w:pPr>
        <w:pStyle w:val="P1"/>
        <w:shd w:val="clear" w:fill="FFFFFF"/>
        <w:spacing w:before="0" w:after="0"/>
        <w:jc w:val="both"/>
        <w:rPr>
          <w:rFonts w:ascii="Calibri" w:hAnsi="Calibri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both"/>
        <w:rPr>
          <w:rFonts w:ascii="Calibri" w:hAnsi="Calibri"/>
          <w:b w:val="1"/>
          <w:color w:val="000000"/>
          <w:sz w:val="28"/>
        </w:rPr>
      </w:pP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 xml:space="preserve">Март </w:t>
      </w:r>
    </w:p>
    <w:p>
      <w:pPr>
        <w:pStyle w:val="P1"/>
        <w:shd w:val="clear" w:fill="FFFFFF"/>
        <w:spacing w:before="0" w:after="0"/>
        <w:jc w:val="center"/>
        <w:rPr>
          <w:rFonts w:ascii="Calibri" w:hAnsi="Calibri"/>
          <w:color w:val="000000"/>
          <w:sz w:val="28"/>
        </w:rPr>
      </w:pPr>
      <w:r>
        <w:rPr>
          <w:rStyle w:val="C3"/>
          <w:rFonts w:ascii="Calibri" w:hAnsi="Calibri"/>
          <w:color w:val="000000"/>
          <w:sz w:val="28"/>
        </w:rPr>
        <w:t>2021 год</w:t>
      </w:r>
    </w:p>
    <w:p>
      <w:pPr>
        <w:shd w:val="clear" w:fill="FFFFFF"/>
        <w:spacing w:lineRule="auto" w:line="240" w:before="100" w:after="100" w:beforeAutospacing="1" w:afterAutospacing="1"/>
        <w:jc w:val="center"/>
        <w:rPr>
          <w:rFonts w:ascii="Georgia" w:hAnsi="Georgia"/>
          <w:b w:val="1"/>
          <w:color w:val="000000"/>
          <w:sz w:val="18"/>
        </w:rPr>
      </w:pPr>
      <w:r>
        <w:rPr>
          <w:rFonts w:ascii="Georgia" w:hAnsi="Georgia"/>
          <w:b w:val="1"/>
          <w:color w:val="000000"/>
          <w:sz w:val="18"/>
        </w:rPr>
        <w:t xml:space="preserve"> </w:t>
      </w:r>
      <w:bookmarkStart w:id="0" w:name="_GoBack"/>
      <w:bookmarkEnd w:id="0"/>
    </w:p>
    <w:p>
      <w:pPr>
        <w:shd w:val="clear" w:fill="FFFFFF"/>
        <w:spacing w:lineRule="auto" w:line="240" w:before="100" w:after="100" w:beforeAutospacing="1" w:afterAutospacing="1"/>
        <w:jc w:val="center"/>
        <w:rPr>
          <w:rFonts w:ascii="Georgia" w:hAnsi="Georgia"/>
          <w:color w:val="000000"/>
          <w:sz w:val="18"/>
        </w:rPr>
      </w:pP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 xml:space="preserve"> 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В нашем детском саду три группы компенсирующей направленности. Специфика работы в группах для детей с речевыми расстройствами определяется имеющимися у каждого дошкольника ряд особенностей.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Как показывает практика, отклонения в речевом развитии влекут за собой определенные негативные проявления во всех сферах жизни ребенка: низкую познавательную активность, недостаточную ориентировку в фактах и явлениях окружающей действительности, обедненность содержания коммуникативной, игровой и художественно-творческой деятельности и др.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У детей при нормальном интеллекте зачастую наблюдается снижение познавательной деятельности и входящих в её структуру процессов: меньший об</w:t>
      </w:r>
      <w:r>
        <w:rPr>
          <w:rFonts w:ascii="Calibri" w:hAnsi="Calibri"/>
          <w:color w:val="000000"/>
          <w:sz w:val="28"/>
        </w:rPr>
        <w:t>ь</w:t>
      </w:r>
      <w:r>
        <w:rPr>
          <w:rFonts w:ascii="Calibri" w:hAnsi="Calibri"/>
          <w:color w:val="000000"/>
          <w:sz w:val="28"/>
        </w:rPr>
        <w:t>ём запоминания и воспроизведения материала, неустойчивость внимания, быстрая отвлекаемость, истощаемость психических процессов, снижение уровня обобщения и осмысления действительности; у них затруднена развёрнутая связная речь.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Со стороны эмоционально-волевой сферы также наблюдается ряд особенностей: повышенная возбудимость, раздражительность или общая заторможенность, замкнутость, обидчивость, плаксивость, многократная смена настроения.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Структура педагогической поддержки, реабилитации во многом зависит от диагноза, компенсаторных возможностей ребенка, </w:t>
      </w:r>
      <w:r>
        <w:rPr>
          <w:rFonts w:ascii="Calibri" w:hAnsi="Calibri"/>
          <w:b w:val="1"/>
          <w:i w:val="1"/>
          <w:color w:val="000000"/>
          <w:sz w:val="28"/>
        </w:rPr>
        <w:t>«</w:t>
      </w:r>
      <w:r>
        <w:rPr>
          <w:rFonts w:ascii="Calibri" w:hAnsi="Calibri"/>
          <w:b w:val="0"/>
          <w:i w:val="0"/>
          <w:color w:val="000000"/>
          <w:sz w:val="28"/>
        </w:rPr>
        <w:t>зоны его актуального и ближайшего развития</w:t>
      </w:r>
      <w:r>
        <w:rPr>
          <w:rFonts w:ascii="Calibri" w:hAnsi="Calibri"/>
          <w:b w:val="1"/>
          <w:i w:val="1"/>
          <w:color w:val="000000"/>
          <w:sz w:val="28"/>
        </w:rPr>
        <w:t>»</w:t>
      </w:r>
      <w:r>
        <w:rPr>
          <w:rFonts w:ascii="Calibri" w:hAnsi="Calibri"/>
          <w:color w:val="000000"/>
          <w:sz w:val="28"/>
        </w:rPr>
        <w:t>, личностно- ориентированного подхода.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Деятельность педагога-психолога охватывает комплексное психологическое сопровождение детей в образовательном процессе. Реализация этой цели возможна только при тесном взаимодействии учителя-логопеда и педагога-психолога в развитии </w:t>
      </w:r>
      <w:r>
        <w:rPr>
          <w:rFonts w:ascii="Calibri" w:hAnsi="Calibri"/>
          <w:i w:val="1"/>
          <w:color w:val="000000"/>
          <w:sz w:val="28"/>
        </w:rPr>
        <w:t>(коррекции)</w:t>
      </w:r>
      <w:r>
        <w:rPr>
          <w:rFonts w:ascii="Calibri" w:hAnsi="Calibri"/>
          <w:color w:val="000000"/>
          <w:sz w:val="28"/>
        </w:rPr>
        <w:t> речи и не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Calibri" w:hAnsi="Calibri"/>
          <w:color w:val="000000"/>
          <w:sz w:val="28"/>
        </w:rPr>
        <w:t>речевых психических процессов и функций.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Деятельность педагога-психолога направлена на:</w:t>
      </w:r>
    </w:p>
    <w:p>
      <w:pPr>
        <w:numPr>
          <w:ilvl w:val="0"/>
          <w:numId w:val="1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 создание среды психологической поддержки детям с нарушениями речи: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Такие дети часто соматически ослаблены, физически не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Calibri" w:hAnsi="Calibri"/>
          <w:color w:val="000000"/>
          <w:sz w:val="28"/>
        </w:rPr>
        <w:t>выносливы, быстро утомляются. Отрицательно сказывается на здоровье долгое пребывание детей в сидячем положении. Поэтому использование здоровьесберегающих технологий является важным условием в ходе коррекционных занятий. Помимо традиционных физкультминуток в организованную деятельность включаются: режим смены поз, кинезиологическая гимнастика, психогимнастика, релаксминутки и др.</w:t>
      </w:r>
    </w:p>
    <w:p>
      <w:pPr>
        <w:numPr>
          <w:ilvl w:val="0"/>
          <w:numId w:val="2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 совершенствование мелкой моторики: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Специальными исследованиями установлено, что уровень развития речи детей находится в прямой зависимости от степени сформированности тонких дифференцированных движений рук. Поэтому речевое развитие рекомендуется стимулировать тренировкой движений пальцев рук, особенно у детей с речевой патологией. Применение пальчиковых игр, блоков Д</w:t>
      </w:r>
      <w:r>
        <w:rPr>
          <w:rFonts w:ascii="Calibri" w:hAnsi="Calibri"/>
          <w:color w:val="000000"/>
          <w:sz w:val="28"/>
        </w:rPr>
        <w:t>ь</w:t>
      </w:r>
      <w:r>
        <w:rPr>
          <w:rFonts w:ascii="Calibri" w:hAnsi="Calibri"/>
          <w:color w:val="000000"/>
          <w:sz w:val="28"/>
        </w:rPr>
        <w:t>енеша, палочки К</w:t>
      </w:r>
      <w:r>
        <w:rPr>
          <w:rFonts w:ascii="Calibri" w:hAnsi="Calibri"/>
          <w:color w:val="000000"/>
          <w:sz w:val="28"/>
        </w:rPr>
        <w:t>ь</w:t>
      </w:r>
      <w:r>
        <w:rPr>
          <w:rFonts w:ascii="Calibri" w:hAnsi="Calibri"/>
          <w:color w:val="000000"/>
          <w:sz w:val="28"/>
        </w:rPr>
        <w:t xml:space="preserve">юзинера, различные творческие задания с использованием ножниц, пластилина, природного материала  позволяют детям не только совершенствовать тонкую моторику, но и повышают интерес к организованной деятельности, создают положительный эмоциональный настрой.</w:t>
      </w:r>
    </w:p>
    <w:p>
      <w:pPr>
        <w:numPr>
          <w:ilvl w:val="0"/>
          <w:numId w:val="3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развитие памяти, мышления, восприятия, воображения: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В каждое занятие включаются задание на развитие какого-либо познавательного процесса: "</w:t>
      </w:r>
      <w:r>
        <w:rPr>
          <w:rFonts w:ascii="Calibri" w:hAnsi="Calibri"/>
          <w:b w:val="0"/>
          <w:i w:val="0"/>
          <w:color w:val="000000"/>
          <w:sz w:val="28"/>
        </w:rPr>
        <w:t>Четвертый лишний"</w:t>
      </w:r>
      <w:r>
        <w:rPr>
          <w:rFonts w:ascii="Calibri" w:hAnsi="Calibri"/>
          <w:color w:val="000000"/>
          <w:sz w:val="28"/>
        </w:rPr>
        <w:t>, "</w:t>
      </w:r>
      <w:r>
        <w:rPr>
          <w:rFonts w:ascii="Calibri" w:hAnsi="Calibri"/>
          <w:b w:val="0"/>
          <w:i w:val="0"/>
          <w:color w:val="000000"/>
          <w:sz w:val="28"/>
        </w:rPr>
        <w:t>Разрезные картинки"</w:t>
      </w:r>
      <w:r>
        <w:rPr>
          <w:rFonts w:ascii="Calibri" w:hAnsi="Calibri"/>
          <w:color w:val="000000"/>
          <w:sz w:val="28"/>
        </w:rPr>
        <w:t>, "</w:t>
      </w:r>
      <w:r>
        <w:rPr>
          <w:rFonts w:ascii="Calibri" w:hAnsi="Calibri"/>
          <w:b w:val="0"/>
          <w:i w:val="0"/>
          <w:color w:val="000000"/>
          <w:sz w:val="28"/>
        </w:rPr>
        <w:t>Запомни картинки"</w:t>
      </w:r>
      <w:r>
        <w:rPr>
          <w:rFonts w:ascii="Calibri" w:hAnsi="Calibri"/>
          <w:color w:val="000000"/>
          <w:sz w:val="28"/>
        </w:rPr>
        <w:t xml:space="preserve">, "Какие предметы спрятались?",  "Разложи предметы по группам".</w:t>
      </w:r>
    </w:p>
    <w:p>
      <w:pPr>
        <w:numPr>
          <w:ilvl w:val="0"/>
          <w:numId w:val="4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 развитие слухового внимания и фонематического слуха: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Развитый речевой слух является важным составляющим элементом в развитии речи ребенка.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Без речевого слуха речевое общение невозможно. Речевой слух начинает формироваться у детей при восприятии речи окружающих и при собственном проговаривании. Развитию слухового внимания способствует игра, так как она всегда содержит цель и правила действия, которые требуют сосредоточенности. Благодаря этим играм у детей развиваются определенные качества – целенаправленность, устойчивость, сосредоточенность.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Отгадывание загадок, ребусы, дидактические игры, работа со сказкой и многие другие помогают детям овладеть устной речью,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>
      <w:pPr>
        <w:numPr>
          <w:ilvl w:val="0"/>
          <w:numId w:val="5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 развитие зрительно-моторной координации и графо-моторных навыков: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Зрительно-моторная координация занимает важное место в формировании навыка готовности к письму.</w:t>
      </w:r>
    </w:p>
    <w:p>
      <w:pPr>
        <w:numPr>
          <w:ilvl w:val="0"/>
          <w:numId w:val="6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 развитие коммуникативных навыков, произвольности и навыков самоконтроля, волевых качеств: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Подвижные игры с правилами, игры на развитие самоконтроля, сюжетно-ролевые игры, дидактические игры формируют у детей с речевыми расстройствами волевые усилия, помогают следовать социальным нормам поведения и правилам в разных видах деятельности, во взаимоотношениях со взрослыми и сверстниками, проявлять ответственность за начатое дело.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Ребенок учится сотрудничать и выполнять как лидерские, так и исполнительские функции в совместной деятельности, что соответствует целевым ориентирам ФГОС.</w:t>
      </w:r>
    </w:p>
    <w:p>
      <w:pPr>
        <w:numPr>
          <w:ilvl w:val="0"/>
          <w:numId w:val="7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 развитие эмоций: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Упражнения на сплоченность группы; этюды на выражение страха, тревоги, гнева, радости; рисование на различные темы и т. п. помогают детям развивать способность договариваться, учитывать интересы и чувства других, сопереживать, адекватно проявлять свои чувства, в том числе чувство веры в себя и являются главными условиями для личностного и эмоционального развития ребенка-дошкольника.</w:t>
      </w:r>
    </w:p>
    <w:p>
      <w:pPr>
        <w:numPr>
          <w:ilvl w:val="0"/>
          <w:numId w:val="8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 повышение психологической культуры родителей: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Наиболее приоритетными формами взаимодействия специалистов и родителей в ДОУ выступают: родительские собрания, семинары-практикумы, школы для родителей, совместно организованные праздники, досуги, Дни открытых дверей, индивидуальные и групповые консультации.</w:t>
      </w:r>
    </w:p>
    <w:p>
      <w:pPr>
        <w:numPr>
          <w:ilvl w:val="0"/>
          <w:numId w:val="9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1"/>
          <w:color w:val="000000"/>
          <w:sz w:val="28"/>
        </w:rPr>
      </w:pPr>
      <w:r>
        <w:rPr>
          <w:rFonts w:ascii="Calibri" w:hAnsi="Calibri"/>
          <w:b w:val="1"/>
          <w:color w:val="000000"/>
          <w:sz w:val="28"/>
        </w:rPr>
        <w:t> повышение психологической культуры педагогов: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В работе с педагогами я использую консультации, семинары-практикумы, деловые игры, круглые столы, анкетирование. В процессе такого взаимодействия удается сформировать необходимые умения и навыки, активизировать обмен информацией, практическим опытом, выработать стратегии развития детей, имеющих определенные особенности развития.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Несмотря на закономерные различия функциональных обязанностей, в задачах деятельности учителя-логопеда и педагога-психолога видна общая логика построения коррекционно-образовательного процесса. Педагог-психолог и учитель-логопед имеют возможность осуществлять помощь, как каждому ребенку, так и группе детей, имеющих речевые дефекты: отслеживать процесс развития; заниматься диагностикой, всесторонней профилактической, коррекционной и развивающей работой с детьми определенного возраста.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Таким образом, совместная работа всех участников воспитательно-образовательного процесса направлена на полноценное проживание детьми всего дошкольного периода и успешный переход на следующую ступень – обучение в школе.</w:t>
      </w:r>
    </w:p>
    <w:p>
      <w:p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Литература.</w:t>
      </w:r>
    </w:p>
    <w:p>
      <w:pPr>
        <w:numPr>
          <w:ilvl w:val="0"/>
          <w:numId w:val="10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Алябьева Е.А. Занятия по психогимнастике с дошкольниками: Методическое пособие. Изд. 2-е перераб., доп. – М.: ТЦ Сфера, 2009. — 160с.</w:t>
      </w:r>
    </w:p>
    <w:p>
      <w:pPr>
        <w:numPr>
          <w:ilvl w:val="0"/>
          <w:numId w:val="10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Арцишевская. Работа психолога с гиперактивными детьми в детском саду. Изд. 2-е, доп. – Книголюб, 2005. – 64с.</w:t>
      </w:r>
    </w:p>
    <w:p>
      <w:pPr>
        <w:numPr>
          <w:ilvl w:val="0"/>
          <w:numId w:val="10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Гаврина С.Е., Кутявина Н.Л., Топоркова И.Г., Щербинина С.В. Рисуй, играй, смекай. Детям от 3 до5. М.: Академия развития, 2002. – 31с.</w:t>
      </w:r>
    </w:p>
    <w:p>
      <w:pPr>
        <w:numPr>
          <w:ilvl w:val="0"/>
          <w:numId w:val="10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Гаврина С.Е., Кутявина Н.Л., Топоркова И.Г., Щербинина С.В. Я учусь общаться и понимать окружающих М.: Академия развития, 2006. – 16с.</w:t>
      </w:r>
    </w:p>
    <w:p>
      <w:pPr>
        <w:numPr>
          <w:ilvl w:val="0"/>
          <w:numId w:val="10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b w:val="0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Гаврина С.Е., Кутявина Н.Л., Топоркова И.Г., Щербинина С.В., Развиваем внимание. ООО </w:t>
      </w:r>
      <w:r>
        <w:rPr>
          <w:rFonts w:ascii="Calibri" w:hAnsi="Calibri"/>
          <w:b w:val="1"/>
          <w:i w:val="1"/>
          <w:color w:val="000000"/>
          <w:sz w:val="28"/>
        </w:rPr>
        <w:t>«</w:t>
      </w:r>
      <w:r>
        <w:rPr>
          <w:rFonts w:ascii="Calibri" w:hAnsi="Calibri"/>
          <w:b w:val="0"/>
          <w:i w:val="1"/>
          <w:color w:val="000000"/>
          <w:sz w:val="28"/>
        </w:rPr>
        <w:t>Изд-во «Росмен-Пресс»</w:t>
      </w:r>
      <w:r>
        <w:rPr>
          <w:rFonts w:ascii="Calibri" w:hAnsi="Calibri"/>
          <w:b w:val="0"/>
          <w:color w:val="000000"/>
          <w:sz w:val="28"/>
        </w:rPr>
        <w:t>, 2003.</w:t>
      </w:r>
    </w:p>
    <w:p>
      <w:pPr>
        <w:numPr>
          <w:ilvl w:val="0"/>
          <w:numId w:val="10"/>
        </w:numPr>
        <w:shd w:val="clear" w:fill="FFFFFF"/>
        <w:spacing w:lineRule="auto" w:line="240" w:before="100" w:after="100" w:beforeAutospacing="1" w:afterAutospacing="1"/>
        <w:jc w:val="both"/>
        <w:rPr>
          <w:rFonts w:ascii="Calibri" w:hAnsi="Calibri"/>
          <w:color w:val="000000"/>
          <w:sz w:val="28"/>
        </w:rPr>
      </w:pPr>
      <w:r>
        <w:rPr>
          <w:rFonts w:ascii="Calibri" w:hAnsi="Calibri"/>
          <w:color w:val="000000"/>
          <w:sz w:val="28"/>
        </w:rPr>
        <w:t>Гришечкина Н.В. 150 лучших развивающих игр для детей 5-7 лет. Развитие познавательных способностей, мелкой моторики, чувства ритма, координации движений. – Ярославль, Академия развития, 2009. — 192с.</w:t>
      </w:r>
    </w:p>
    <w:p>
      <w:pPr>
        <w:rPr>
          <w:rFonts w:ascii="Calibri" w:hAnsi="Calibri"/>
          <w:sz w:val="28"/>
        </w:rPr>
      </w:pPr>
      <w:r>
        <w:rPr>
          <w:rFonts w:ascii="Calibri" w:hAnsi="Calibri"/>
          <w:color w:val="000000"/>
          <w:sz w:val="28"/>
        </w:rPr>
        <w:t xml:space="preserve">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7E16ED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099F4C3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18BC24E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nsid w:val="1CBB695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30183FA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5">
    <w:nsid w:val="45231CBC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6">
    <w:nsid w:val="4DC2421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7">
    <w:nsid w:val="66E6622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8">
    <w:nsid w:val="7254475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9">
    <w:nsid w:val="7572666A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c10"/>
    <w:basedOn w:val="P0"/>
    <w:pPr>
      <w:spacing w:before="100" w:after="100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9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